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69381A" w:rsidRPr="00666F17" w14:paraId="6EEE2B26" w14:textId="77777777" w:rsidTr="002361C1">
        <w:tc>
          <w:tcPr>
            <w:tcW w:w="2263" w:type="dxa"/>
            <w:shd w:val="clear" w:color="auto" w:fill="BFBFBF" w:themeFill="background1" w:themeFillShade="BF"/>
          </w:tcPr>
          <w:p w14:paraId="571F00EC" w14:textId="65B99F49" w:rsidR="0069381A" w:rsidRPr="00666F17" w:rsidRDefault="0069381A" w:rsidP="00D41241">
            <w:pPr>
              <w:spacing w:before="60" w:after="60"/>
              <w:rPr>
                <w:rFonts w:ascii="Arial" w:hAnsi="Arial" w:cs="Arial"/>
                <w:bCs/>
              </w:rPr>
            </w:pPr>
            <w:r w:rsidRPr="00666F17">
              <w:rPr>
                <w:rFonts w:ascii="Arial" w:hAnsi="Arial" w:cs="Arial"/>
                <w:bCs/>
              </w:rPr>
              <w:t>Product</w:t>
            </w:r>
            <w:r w:rsidR="00940E30" w:rsidRPr="00666F17">
              <w:rPr>
                <w:rFonts w:ascii="Arial" w:hAnsi="Arial" w:cs="Arial"/>
                <w:bCs/>
              </w:rPr>
              <w:t xml:space="preserve"> name</w:t>
            </w:r>
          </w:p>
        </w:tc>
        <w:tc>
          <w:tcPr>
            <w:tcW w:w="6753" w:type="dxa"/>
          </w:tcPr>
          <w:p w14:paraId="5B733CBE" w14:textId="2B7EAC8F" w:rsidR="0069381A" w:rsidRPr="00666F17" w:rsidRDefault="00D2601C" w:rsidP="00D41241">
            <w:pPr>
              <w:spacing w:before="60" w:after="60"/>
              <w:rPr>
                <w:rFonts w:ascii="Arial" w:hAnsi="Arial" w:cs="Arial"/>
                <w:bCs/>
              </w:rPr>
            </w:pPr>
            <w:r w:rsidRPr="00B12EC0">
              <w:rPr>
                <w:rFonts w:ascii="Arial" w:hAnsi="Arial" w:cs="Arial"/>
                <w:bCs/>
              </w:rPr>
              <w:t xml:space="preserve">Contractors All Risks </w:t>
            </w:r>
            <w:r w:rsidRPr="00526278">
              <w:rPr>
                <w:rFonts w:ascii="Arial" w:hAnsi="Arial" w:cs="Arial"/>
                <w:bCs/>
              </w:rPr>
              <w:t>and Erection All Risks (Specific Project Insurance)</w:t>
            </w:r>
          </w:p>
        </w:tc>
      </w:tr>
      <w:tr w:rsidR="0069381A" w:rsidRPr="00666F17" w14:paraId="7517C7ED" w14:textId="77777777" w:rsidTr="00D41241">
        <w:tc>
          <w:tcPr>
            <w:tcW w:w="2263" w:type="dxa"/>
            <w:shd w:val="clear" w:color="auto" w:fill="BFBFBF" w:themeFill="background1" w:themeFillShade="BF"/>
          </w:tcPr>
          <w:p w14:paraId="5ACDFED2" w14:textId="5113591A" w:rsidR="0069381A" w:rsidRPr="00666F17" w:rsidRDefault="0069381A" w:rsidP="0069381A">
            <w:pPr>
              <w:rPr>
                <w:rFonts w:ascii="Arial" w:hAnsi="Arial" w:cs="Arial"/>
                <w:bCs/>
              </w:rPr>
            </w:pPr>
            <w:r w:rsidRPr="00666F17">
              <w:rPr>
                <w:rFonts w:ascii="Arial" w:hAnsi="Arial" w:cs="Arial"/>
                <w:bCs/>
              </w:rPr>
              <w:t>Reference</w:t>
            </w:r>
            <w:r w:rsidR="00A47D81" w:rsidRPr="00666F17">
              <w:rPr>
                <w:rFonts w:ascii="Arial" w:hAnsi="Arial" w:cs="Arial"/>
                <w:bCs/>
              </w:rPr>
              <w:t>/UMR</w:t>
            </w:r>
            <w:r w:rsidR="00A71078" w:rsidRPr="00666F17">
              <w:rPr>
                <w:rFonts w:ascii="Arial" w:hAnsi="Arial" w:cs="Arial"/>
                <w:bCs/>
              </w:rPr>
              <w:t xml:space="preserve"> [Binder]</w:t>
            </w:r>
          </w:p>
        </w:tc>
        <w:tc>
          <w:tcPr>
            <w:tcW w:w="6753" w:type="dxa"/>
            <w:vAlign w:val="center"/>
          </w:tcPr>
          <w:p w14:paraId="2BB5B61A" w14:textId="77777777" w:rsidR="0069381A" w:rsidRPr="00666F17" w:rsidRDefault="0069381A" w:rsidP="00D41241">
            <w:pPr>
              <w:rPr>
                <w:rFonts w:ascii="Arial" w:hAnsi="Arial" w:cs="Arial"/>
                <w:bCs/>
              </w:rPr>
            </w:pPr>
          </w:p>
        </w:tc>
      </w:tr>
      <w:tr w:rsidR="00D2601C" w:rsidRPr="00666F17" w14:paraId="2BA632AD" w14:textId="77777777" w:rsidTr="00D41241">
        <w:tc>
          <w:tcPr>
            <w:tcW w:w="2263" w:type="dxa"/>
            <w:shd w:val="clear" w:color="auto" w:fill="BFBFBF" w:themeFill="background1" w:themeFillShade="BF"/>
          </w:tcPr>
          <w:p w14:paraId="13DE7379" w14:textId="06B3E082" w:rsidR="00D2601C" w:rsidRPr="00666F17" w:rsidRDefault="00D2601C" w:rsidP="00D2601C">
            <w:pPr>
              <w:rPr>
                <w:rFonts w:ascii="Arial" w:hAnsi="Arial" w:cs="Arial"/>
                <w:bCs/>
              </w:rPr>
            </w:pPr>
            <w:r w:rsidRPr="00666F17">
              <w:rPr>
                <w:rFonts w:ascii="Arial" w:hAnsi="Arial" w:cs="Arial"/>
                <w:bCs/>
              </w:rPr>
              <w:t>Reference [Class of Business]</w:t>
            </w:r>
          </w:p>
        </w:tc>
        <w:tc>
          <w:tcPr>
            <w:tcW w:w="6753" w:type="dxa"/>
            <w:vAlign w:val="center"/>
          </w:tcPr>
          <w:p w14:paraId="5800A426" w14:textId="20E2ED9B" w:rsidR="00D2601C" w:rsidRPr="00666F17" w:rsidRDefault="00D2601C" w:rsidP="00D2601C">
            <w:pPr>
              <w:rPr>
                <w:rFonts w:ascii="Arial" w:hAnsi="Arial" w:cs="Arial"/>
                <w:bCs/>
              </w:rPr>
            </w:pPr>
            <w:r w:rsidRPr="003968D9">
              <w:rPr>
                <w:rFonts w:ascii="Arial" w:hAnsi="Arial" w:cs="Arial"/>
                <w:bCs/>
              </w:rPr>
              <w:t>Material Damage/Liability</w:t>
            </w:r>
          </w:p>
        </w:tc>
      </w:tr>
      <w:tr w:rsidR="00D2601C" w:rsidRPr="00666F17" w14:paraId="187A3219" w14:textId="77777777" w:rsidTr="002361C1">
        <w:tc>
          <w:tcPr>
            <w:tcW w:w="2263" w:type="dxa"/>
            <w:shd w:val="clear" w:color="auto" w:fill="BFBFBF" w:themeFill="background1" w:themeFillShade="BF"/>
          </w:tcPr>
          <w:p w14:paraId="7D583A12" w14:textId="79D0151A" w:rsidR="00D2601C" w:rsidRPr="00666F17" w:rsidRDefault="00D2601C" w:rsidP="00D2601C">
            <w:pPr>
              <w:spacing w:before="60" w:after="60"/>
              <w:rPr>
                <w:rFonts w:ascii="Arial" w:hAnsi="Arial" w:cs="Arial"/>
                <w:bCs/>
              </w:rPr>
            </w:pPr>
            <w:r w:rsidRPr="00666F17">
              <w:rPr>
                <w:rFonts w:ascii="Arial" w:hAnsi="Arial" w:cs="Arial"/>
                <w:bCs/>
              </w:rPr>
              <w:t>Date</w:t>
            </w:r>
          </w:p>
        </w:tc>
        <w:tc>
          <w:tcPr>
            <w:tcW w:w="6753" w:type="dxa"/>
          </w:tcPr>
          <w:p w14:paraId="3CB8CC16" w14:textId="7F312926" w:rsidR="00D2601C" w:rsidRPr="00666F17" w:rsidRDefault="00D2601C" w:rsidP="00D2601C">
            <w:pPr>
              <w:spacing w:before="60" w:after="60"/>
              <w:rPr>
                <w:rFonts w:ascii="Arial" w:hAnsi="Arial" w:cs="Arial"/>
                <w:bCs/>
              </w:rPr>
            </w:pPr>
            <w:r>
              <w:rPr>
                <w:rFonts w:ascii="Arial" w:hAnsi="Arial" w:cs="Arial"/>
                <w:bCs/>
              </w:rPr>
              <w:t>November</w:t>
            </w:r>
            <w:r w:rsidRPr="00C85338">
              <w:rPr>
                <w:rFonts w:ascii="Arial" w:hAnsi="Arial" w:cs="Arial"/>
                <w:bCs/>
              </w:rPr>
              <w:t xml:space="preserve">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295BFED4" w14:textId="77777777" w:rsidR="00D2601C" w:rsidRDefault="00D2601C" w:rsidP="00D2601C">
            <w:pPr>
              <w:spacing w:before="120" w:after="120"/>
              <w:jc w:val="both"/>
              <w:rPr>
                <w:rFonts w:ascii="Arial" w:hAnsi="Arial" w:cs="Arial"/>
                <w:bCs/>
              </w:rPr>
            </w:pPr>
            <w:r w:rsidRPr="009B39B6">
              <w:rPr>
                <w:rFonts w:ascii="Arial" w:hAnsi="Arial" w:cs="Arial"/>
                <w:bCs/>
              </w:rPr>
              <w:t>This</w:t>
            </w:r>
            <w:r w:rsidRPr="00B12EC0">
              <w:rPr>
                <w:rFonts w:ascii="Arial" w:hAnsi="Arial" w:cs="Arial"/>
                <w:bCs/>
              </w:rPr>
              <w:t xml:space="preserve"> Contractors All Risks </w:t>
            </w:r>
            <w:r w:rsidRPr="00526278">
              <w:rPr>
                <w:rFonts w:ascii="Arial" w:hAnsi="Arial" w:cs="Arial"/>
                <w:bCs/>
              </w:rPr>
              <w:t>and Erection All Risks</w:t>
            </w:r>
            <w:r w:rsidRPr="009B39B6">
              <w:rPr>
                <w:rFonts w:ascii="Arial" w:hAnsi="Arial" w:cs="Arial"/>
                <w:bCs/>
              </w:rPr>
              <w:t xml:space="preserve"> product</w:t>
            </w:r>
            <w:r>
              <w:rPr>
                <w:rFonts w:ascii="Arial" w:hAnsi="Arial" w:cs="Arial"/>
                <w:bCs/>
              </w:rPr>
              <w:t xml:space="preserve"> is designed to cover the needs of commercial customers working in various trade sectors. The product coverage can be purchased as a complete 5 section package, a combination of just some of the sections or a single stand-alone section, based on the period of the individual project covered.</w:t>
            </w:r>
          </w:p>
          <w:p w14:paraId="494BD50B" w14:textId="77777777" w:rsidR="00D2601C" w:rsidRDefault="00D2601C" w:rsidP="00D2601C">
            <w:pPr>
              <w:pStyle w:val="ListParagraph"/>
              <w:numPr>
                <w:ilvl w:val="0"/>
                <w:numId w:val="20"/>
              </w:numPr>
              <w:spacing w:after="60"/>
              <w:ind w:left="168" w:hanging="142"/>
              <w:rPr>
                <w:rFonts w:ascii="Arial" w:hAnsi="Arial" w:cs="Arial"/>
                <w:bCs/>
              </w:rPr>
            </w:pPr>
            <w:r>
              <w:rPr>
                <w:rFonts w:ascii="Arial" w:hAnsi="Arial" w:cs="Arial"/>
                <w:b/>
              </w:rPr>
              <w:t>Construction All Risks/Erection All Risks</w:t>
            </w:r>
            <w:r w:rsidRPr="00380E8D">
              <w:rPr>
                <w:rFonts w:ascii="Arial" w:hAnsi="Arial" w:cs="Arial"/>
                <w:b/>
              </w:rPr>
              <w:t xml:space="preserve"> section</w:t>
            </w:r>
            <w:r w:rsidRPr="00380E8D">
              <w:rPr>
                <w:rFonts w:ascii="Arial" w:hAnsi="Arial" w:cs="Arial"/>
                <w:bCs/>
              </w:rPr>
              <w:t xml:space="preserve"> </w:t>
            </w:r>
          </w:p>
          <w:p w14:paraId="7D38F284" w14:textId="77777777" w:rsidR="00D2601C" w:rsidRPr="009B39B6" w:rsidRDefault="00D2601C" w:rsidP="00D2601C">
            <w:pPr>
              <w:spacing w:after="60"/>
              <w:jc w:val="both"/>
              <w:rPr>
                <w:rFonts w:ascii="Arial" w:hAnsi="Arial" w:cs="Arial"/>
                <w:bCs/>
              </w:rPr>
            </w:pPr>
            <w:r>
              <w:rPr>
                <w:rFonts w:ascii="Arial" w:hAnsi="Arial" w:cs="Arial"/>
                <w:bCs/>
              </w:rPr>
              <w:t xml:space="preserve">available which protects </w:t>
            </w:r>
            <w:r w:rsidRPr="009B39B6">
              <w:rPr>
                <w:rFonts w:ascii="Arial" w:hAnsi="Arial" w:cs="Arial"/>
              </w:rPr>
              <w:t xml:space="preserve">the </w:t>
            </w:r>
            <w:r>
              <w:rPr>
                <w:rFonts w:ascii="Arial" w:hAnsi="Arial" w:cs="Arial"/>
              </w:rPr>
              <w:t xml:space="preserve">contract </w:t>
            </w:r>
            <w:r w:rsidRPr="009B39B6">
              <w:rPr>
                <w:rFonts w:ascii="Arial" w:hAnsi="Arial" w:cs="Arial"/>
              </w:rPr>
              <w:t>works</w:t>
            </w:r>
            <w:r>
              <w:rPr>
                <w:rFonts w:ascii="Arial" w:hAnsi="Arial" w:cs="Arial"/>
              </w:rPr>
              <w:t xml:space="preserve"> and</w:t>
            </w:r>
            <w:r w:rsidRPr="009B39B6">
              <w:rPr>
                <w:rFonts w:ascii="Arial" w:hAnsi="Arial" w:cs="Arial"/>
              </w:rPr>
              <w:t xml:space="preserve"> materials </w:t>
            </w:r>
            <w:r>
              <w:rPr>
                <w:rFonts w:ascii="Arial" w:hAnsi="Arial" w:cs="Arial"/>
              </w:rPr>
              <w:t xml:space="preserve">for incorporation therein against loss or damage.  It can also include cover for contractors’ plant used in connection with the contract works </w:t>
            </w:r>
            <w:r w:rsidRPr="009B39B6">
              <w:rPr>
                <w:rFonts w:ascii="Arial" w:hAnsi="Arial" w:cs="Arial"/>
              </w:rPr>
              <w:t>(including hired</w:t>
            </w:r>
            <w:r>
              <w:rPr>
                <w:rFonts w:ascii="Arial" w:hAnsi="Arial" w:cs="Arial"/>
              </w:rPr>
              <w:t>-</w:t>
            </w:r>
            <w:r w:rsidRPr="009B39B6">
              <w:rPr>
                <w:rFonts w:ascii="Arial" w:hAnsi="Arial" w:cs="Arial"/>
              </w:rPr>
              <w:t xml:space="preserve">in plant for which the </w:t>
            </w:r>
            <w:r>
              <w:rPr>
                <w:rFonts w:ascii="Arial" w:hAnsi="Arial" w:cs="Arial"/>
              </w:rPr>
              <w:t>customer</w:t>
            </w:r>
            <w:r w:rsidRPr="009B39B6">
              <w:rPr>
                <w:rFonts w:ascii="Arial" w:hAnsi="Arial" w:cs="Arial"/>
              </w:rPr>
              <w:t xml:space="preserve"> is responsible</w:t>
            </w:r>
            <w:r>
              <w:rPr>
                <w:rFonts w:ascii="Arial" w:hAnsi="Arial" w:cs="Arial"/>
              </w:rPr>
              <w:t>), temporary buildings and employees’ tools</w:t>
            </w:r>
            <w:r w:rsidRPr="009B39B6">
              <w:rPr>
                <w:rFonts w:ascii="Arial" w:hAnsi="Arial" w:cs="Arial"/>
              </w:rPr>
              <w:t xml:space="preserve">. </w:t>
            </w:r>
            <w:r w:rsidRPr="009B39B6">
              <w:rPr>
                <w:rFonts w:ascii="Arial" w:hAnsi="Arial" w:cs="Arial"/>
                <w:bCs/>
              </w:rPr>
              <w:t xml:space="preserve"> </w:t>
            </w:r>
          </w:p>
          <w:p w14:paraId="0CBCA4E6" w14:textId="77777777" w:rsidR="00D2601C" w:rsidRPr="00380E8D" w:rsidRDefault="00D2601C" w:rsidP="00D2601C">
            <w:pPr>
              <w:pStyle w:val="ListParagraph"/>
              <w:numPr>
                <w:ilvl w:val="0"/>
                <w:numId w:val="20"/>
              </w:numPr>
              <w:spacing w:after="60"/>
              <w:ind w:left="168" w:hanging="142"/>
              <w:rPr>
                <w:rFonts w:ascii="Arial" w:hAnsi="Arial" w:cs="Arial"/>
                <w:bCs/>
              </w:rPr>
            </w:pPr>
            <w:r w:rsidRPr="00380E8D">
              <w:rPr>
                <w:rFonts w:ascii="Arial" w:hAnsi="Arial" w:cs="Arial"/>
                <w:b/>
              </w:rPr>
              <w:t>Public Liability section</w:t>
            </w:r>
            <w:r w:rsidRPr="00380E8D">
              <w:rPr>
                <w:rFonts w:ascii="Arial" w:hAnsi="Arial" w:cs="Arial"/>
                <w:bCs/>
              </w:rPr>
              <w:t xml:space="preserve"> </w:t>
            </w:r>
          </w:p>
          <w:p w14:paraId="3C0EB13F" w14:textId="77777777" w:rsidR="00D2601C" w:rsidRDefault="00D2601C" w:rsidP="00D2601C">
            <w:pPr>
              <w:spacing w:after="60"/>
              <w:jc w:val="both"/>
              <w:rPr>
                <w:rFonts w:ascii="Arial" w:hAnsi="Arial" w:cs="Arial"/>
                <w:bCs/>
              </w:rPr>
            </w:pPr>
            <w:r>
              <w:rPr>
                <w:rFonts w:ascii="Arial" w:hAnsi="Arial" w:cs="Arial"/>
                <w:bCs/>
              </w:rPr>
              <w:t>provides protection for the customer</w:t>
            </w:r>
            <w:r w:rsidRPr="004D68D2">
              <w:rPr>
                <w:rFonts w:ascii="Arial" w:hAnsi="Arial" w:cs="Arial"/>
                <w:bCs/>
              </w:rPr>
              <w:t xml:space="preserve"> </w:t>
            </w:r>
            <w:r>
              <w:rPr>
                <w:rFonts w:ascii="Arial" w:hAnsi="Arial" w:cs="Arial"/>
                <w:bCs/>
              </w:rPr>
              <w:t>against their legal liability arising as a result of third party property damage and/or third party bodily injury caused as a result of the carrying out of the individual project covered.</w:t>
            </w:r>
          </w:p>
          <w:p w14:paraId="1AB27F60" w14:textId="77777777" w:rsidR="00D2601C" w:rsidRPr="00380E8D" w:rsidRDefault="00D2601C" w:rsidP="00D2601C">
            <w:pPr>
              <w:pStyle w:val="ListParagraph"/>
              <w:numPr>
                <w:ilvl w:val="0"/>
                <w:numId w:val="20"/>
              </w:numPr>
              <w:spacing w:after="60"/>
              <w:ind w:left="168" w:hanging="142"/>
              <w:rPr>
                <w:rFonts w:ascii="Arial" w:hAnsi="Arial" w:cs="Arial"/>
                <w:bCs/>
              </w:rPr>
            </w:pPr>
            <w:r>
              <w:rPr>
                <w:rFonts w:ascii="Arial" w:hAnsi="Arial" w:cs="Arial"/>
                <w:b/>
              </w:rPr>
              <w:t xml:space="preserve">Non-Negligence </w:t>
            </w:r>
            <w:r w:rsidRPr="00380E8D">
              <w:rPr>
                <w:rFonts w:ascii="Arial" w:hAnsi="Arial" w:cs="Arial"/>
                <w:b/>
              </w:rPr>
              <w:t>Liability section</w:t>
            </w:r>
            <w:r w:rsidRPr="00380E8D">
              <w:rPr>
                <w:rFonts w:ascii="Arial" w:hAnsi="Arial" w:cs="Arial"/>
                <w:bCs/>
              </w:rPr>
              <w:t xml:space="preserve"> </w:t>
            </w:r>
          </w:p>
          <w:p w14:paraId="4CCD5646" w14:textId="77777777" w:rsidR="00D2601C" w:rsidRDefault="00D2601C" w:rsidP="00D2601C">
            <w:pPr>
              <w:spacing w:after="60"/>
              <w:jc w:val="both"/>
              <w:rPr>
                <w:rFonts w:ascii="Arial" w:hAnsi="Arial" w:cs="Arial"/>
                <w:bCs/>
              </w:rPr>
            </w:pPr>
            <w:r>
              <w:rPr>
                <w:rFonts w:ascii="Arial" w:hAnsi="Arial" w:cs="Arial"/>
                <w:bCs/>
              </w:rPr>
              <w:t>provides protection for the customer</w:t>
            </w:r>
            <w:r w:rsidRPr="004D68D2">
              <w:rPr>
                <w:rFonts w:ascii="Arial" w:hAnsi="Arial" w:cs="Arial"/>
                <w:bCs/>
              </w:rPr>
              <w:t xml:space="preserve"> </w:t>
            </w:r>
            <w:r>
              <w:rPr>
                <w:rFonts w:ascii="Arial" w:hAnsi="Arial" w:cs="Arial"/>
                <w:bCs/>
              </w:rPr>
              <w:t xml:space="preserve">against their legal liability arising as a result of third party damage caused by </w:t>
            </w:r>
            <w:r w:rsidRPr="00995093">
              <w:rPr>
                <w:rFonts w:ascii="Arial" w:hAnsi="Arial" w:cs="Arial"/>
                <w:bCs/>
              </w:rPr>
              <w:t>collapse</w:t>
            </w:r>
            <w:r>
              <w:rPr>
                <w:rFonts w:ascii="Arial" w:hAnsi="Arial" w:cs="Arial"/>
                <w:bCs/>
              </w:rPr>
              <w:t xml:space="preserve">, </w:t>
            </w:r>
            <w:r w:rsidRPr="00995093">
              <w:rPr>
                <w:rFonts w:ascii="Arial" w:hAnsi="Arial" w:cs="Arial"/>
                <w:bCs/>
              </w:rPr>
              <w:t>subsidence</w:t>
            </w:r>
            <w:r>
              <w:rPr>
                <w:rFonts w:ascii="Arial" w:hAnsi="Arial" w:cs="Arial"/>
                <w:bCs/>
              </w:rPr>
              <w:t>,</w:t>
            </w:r>
            <w:r w:rsidRPr="00995093">
              <w:rPr>
                <w:rFonts w:ascii="Arial" w:hAnsi="Arial" w:cs="Arial"/>
                <w:bCs/>
              </w:rPr>
              <w:t xml:space="preserve"> heave</w:t>
            </w:r>
            <w:r>
              <w:rPr>
                <w:rFonts w:ascii="Arial" w:hAnsi="Arial" w:cs="Arial"/>
                <w:bCs/>
              </w:rPr>
              <w:t>,</w:t>
            </w:r>
            <w:r w:rsidRPr="00995093">
              <w:rPr>
                <w:rFonts w:ascii="Arial" w:hAnsi="Arial" w:cs="Arial"/>
                <w:bCs/>
              </w:rPr>
              <w:t xml:space="preserve"> vibration</w:t>
            </w:r>
            <w:r>
              <w:rPr>
                <w:rFonts w:ascii="Arial" w:hAnsi="Arial" w:cs="Arial"/>
                <w:bCs/>
              </w:rPr>
              <w:t>,</w:t>
            </w:r>
            <w:r w:rsidRPr="00995093">
              <w:rPr>
                <w:rFonts w:ascii="Arial" w:hAnsi="Arial" w:cs="Arial"/>
                <w:bCs/>
              </w:rPr>
              <w:t xml:space="preserve"> weakening or removal of support or lowering of ground water arising </w:t>
            </w:r>
            <w:r>
              <w:rPr>
                <w:rFonts w:ascii="Arial" w:hAnsi="Arial" w:cs="Arial"/>
                <w:bCs/>
              </w:rPr>
              <w:t xml:space="preserve">as a result </w:t>
            </w:r>
            <w:r w:rsidRPr="00995093">
              <w:rPr>
                <w:rFonts w:ascii="Arial" w:hAnsi="Arial" w:cs="Arial"/>
                <w:bCs/>
              </w:rPr>
              <w:t xml:space="preserve">of the carrying out of the </w:t>
            </w:r>
            <w:r>
              <w:rPr>
                <w:rFonts w:ascii="Arial" w:hAnsi="Arial" w:cs="Arial"/>
                <w:bCs/>
              </w:rPr>
              <w:t xml:space="preserve">individual </w:t>
            </w:r>
            <w:r w:rsidRPr="00995093">
              <w:rPr>
                <w:rFonts w:ascii="Arial" w:hAnsi="Arial" w:cs="Arial"/>
              </w:rPr>
              <w:t>project</w:t>
            </w:r>
            <w:r>
              <w:rPr>
                <w:rFonts w:ascii="Arial" w:hAnsi="Arial" w:cs="Arial"/>
                <w:bCs/>
              </w:rPr>
              <w:t xml:space="preserve"> covered.</w:t>
            </w:r>
          </w:p>
          <w:p w14:paraId="7C739172" w14:textId="77777777" w:rsidR="00D2601C" w:rsidRPr="00380E8D" w:rsidRDefault="00D2601C" w:rsidP="00D2601C">
            <w:pPr>
              <w:pStyle w:val="ListParagraph"/>
              <w:numPr>
                <w:ilvl w:val="0"/>
                <w:numId w:val="20"/>
              </w:numPr>
              <w:spacing w:after="60"/>
              <w:ind w:left="168" w:hanging="142"/>
              <w:rPr>
                <w:rFonts w:ascii="Arial" w:hAnsi="Arial" w:cs="Arial"/>
                <w:bCs/>
              </w:rPr>
            </w:pPr>
            <w:r>
              <w:rPr>
                <w:rFonts w:ascii="Arial" w:hAnsi="Arial" w:cs="Arial"/>
                <w:b/>
              </w:rPr>
              <w:t>Advanced Loss of Profit or Reduction in Revenue</w:t>
            </w:r>
            <w:r w:rsidRPr="00380E8D">
              <w:rPr>
                <w:rFonts w:ascii="Arial" w:hAnsi="Arial" w:cs="Arial"/>
                <w:b/>
              </w:rPr>
              <w:t xml:space="preserve"> section</w:t>
            </w:r>
            <w:r w:rsidRPr="00380E8D">
              <w:rPr>
                <w:rFonts w:ascii="Arial" w:hAnsi="Arial" w:cs="Arial"/>
                <w:bCs/>
              </w:rPr>
              <w:t xml:space="preserve"> </w:t>
            </w:r>
          </w:p>
          <w:p w14:paraId="15288321" w14:textId="77777777" w:rsidR="00D2601C" w:rsidRDefault="00D2601C" w:rsidP="00D2601C">
            <w:pPr>
              <w:spacing w:after="60"/>
              <w:jc w:val="both"/>
              <w:rPr>
                <w:rFonts w:ascii="Arial" w:hAnsi="Arial" w:cs="Arial"/>
                <w:bCs/>
              </w:rPr>
            </w:pPr>
            <w:r>
              <w:rPr>
                <w:rFonts w:ascii="Arial" w:hAnsi="Arial" w:cs="Arial"/>
                <w:bCs/>
              </w:rPr>
              <w:t xml:space="preserve">offers insurance </w:t>
            </w:r>
            <w:r w:rsidRPr="00FD65EA">
              <w:rPr>
                <w:rFonts w:ascii="Arial" w:hAnsi="Arial" w:cs="Arial"/>
                <w:bCs/>
              </w:rPr>
              <w:t xml:space="preserve">against the loss of revenue or profit derived from the delay in completing the individual project covered. Various forms of cover are available – Gross Profit or Gross Revenue, Interest and Additional Increased Cost of Working. Various extensions enhance the standard coverage including, but </w:t>
            </w:r>
            <w:r>
              <w:rPr>
                <w:rFonts w:ascii="Arial" w:hAnsi="Arial" w:cs="Arial"/>
                <w:bCs/>
              </w:rPr>
              <w:t xml:space="preserve">are </w:t>
            </w:r>
            <w:r w:rsidRPr="00FD65EA">
              <w:rPr>
                <w:rFonts w:ascii="Arial" w:hAnsi="Arial" w:cs="Arial"/>
                <w:bCs/>
              </w:rPr>
              <w:t xml:space="preserve">not limited to, Prevention of Access/Egress, Tower Cranes, Utilities Supply Failure and Suppliers/Manufacturers (optional extension), Denial of Access, Specified Illness and miscellaneous Contingencies and Public Utilities. </w:t>
            </w:r>
          </w:p>
          <w:p w14:paraId="4F809F26" w14:textId="77777777" w:rsidR="00D2601C" w:rsidRDefault="00D2601C" w:rsidP="00D2601C">
            <w:pPr>
              <w:spacing w:after="120"/>
              <w:jc w:val="both"/>
              <w:rPr>
                <w:rFonts w:ascii="Arial" w:hAnsi="Arial" w:cs="Arial"/>
                <w:bCs/>
              </w:rPr>
            </w:pPr>
            <w:r w:rsidRPr="00FD65EA">
              <w:rPr>
                <w:rFonts w:ascii="Arial" w:hAnsi="Arial" w:cs="Arial"/>
                <w:bCs/>
              </w:rPr>
              <w:t>Coverage is dependent on a valid material damage claim arising under the Construction All Risks/Erection All Risks section</w:t>
            </w:r>
            <w:r>
              <w:rPr>
                <w:rFonts w:ascii="Arial" w:hAnsi="Arial" w:cs="Arial"/>
                <w:bCs/>
              </w:rPr>
              <w:t>.</w:t>
            </w:r>
          </w:p>
          <w:p w14:paraId="213C98B4" w14:textId="77777777" w:rsidR="00D2601C" w:rsidRPr="00380E8D" w:rsidRDefault="00D2601C" w:rsidP="00D2601C">
            <w:pPr>
              <w:pStyle w:val="ListParagraph"/>
              <w:numPr>
                <w:ilvl w:val="0"/>
                <w:numId w:val="20"/>
              </w:numPr>
              <w:spacing w:after="60"/>
              <w:ind w:left="168" w:hanging="142"/>
              <w:rPr>
                <w:rFonts w:ascii="Arial" w:hAnsi="Arial" w:cs="Arial"/>
                <w:bCs/>
              </w:rPr>
            </w:pPr>
            <w:r w:rsidRPr="00380E8D">
              <w:rPr>
                <w:rFonts w:ascii="Arial" w:hAnsi="Arial" w:cs="Arial"/>
                <w:b/>
              </w:rPr>
              <w:lastRenderedPageBreak/>
              <w:t>Terrorism section</w:t>
            </w:r>
            <w:r w:rsidRPr="00380E8D">
              <w:rPr>
                <w:rFonts w:ascii="Arial" w:hAnsi="Arial" w:cs="Arial"/>
                <w:bCs/>
              </w:rPr>
              <w:t xml:space="preserve"> </w:t>
            </w:r>
          </w:p>
          <w:p w14:paraId="2CBAF38E" w14:textId="77777777" w:rsidR="00D2601C" w:rsidRDefault="00D2601C" w:rsidP="00D2601C">
            <w:pPr>
              <w:spacing w:after="60"/>
              <w:jc w:val="both"/>
              <w:rPr>
                <w:rFonts w:ascii="Arial" w:hAnsi="Arial" w:cs="Arial"/>
                <w:bCs/>
              </w:rPr>
            </w:pPr>
            <w:r w:rsidRPr="00C84AB2">
              <w:rPr>
                <w:rFonts w:ascii="Arial" w:eastAsia="Times New Roman" w:hAnsi="Arial" w:cs="Arial"/>
                <w:bCs/>
              </w:rPr>
              <w:t>available to provide coverage in relation to acts of terrorism for the</w:t>
            </w:r>
            <w:r>
              <w:rPr>
                <w:rFonts w:ascii="Arial" w:hAnsi="Arial" w:cs="Arial"/>
                <w:bCs/>
              </w:rPr>
              <w:t xml:space="preserve"> </w:t>
            </w:r>
            <w:r w:rsidRPr="00FD65EA">
              <w:rPr>
                <w:rFonts w:ascii="Arial" w:hAnsi="Arial" w:cs="Arial"/>
                <w:bCs/>
              </w:rPr>
              <w:t xml:space="preserve">Construction All Risks/Erection All Risks </w:t>
            </w:r>
            <w:r>
              <w:rPr>
                <w:rFonts w:ascii="Arial" w:hAnsi="Arial" w:cs="Arial"/>
                <w:bCs/>
              </w:rPr>
              <w:t xml:space="preserve">and Advanced Loss of Profit or Reduction in Revenue </w:t>
            </w:r>
            <w:r w:rsidRPr="00FD65EA">
              <w:rPr>
                <w:rFonts w:ascii="Arial" w:hAnsi="Arial" w:cs="Arial"/>
                <w:bCs/>
              </w:rPr>
              <w:t>section</w:t>
            </w:r>
            <w:r>
              <w:rPr>
                <w:rFonts w:ascii="Arial" w:hAnsi="Arial" w:cs="Arial"/>
                <w:bCs/>
              </w:rPr>
              <w:t>s</w:t>
            </w:r>
            <w:r w:rsidRPr="00FD65EA">
              <w:rPr>
                <w:rFonts w:ascii="Arial" w:hAnsi="Arial" w:cs="Arial"/>
                <w:bCs/>
              </w:rPr>
              <w:t xml:space="preserve"> </w:t>
            </w:r>
            <w:r>
              <w:rPr>
                <w:rFonts w:ascii="Arial" w:hAnsi="Arial" w:cs="Arial"/>
                <w:bCs/>
              </w:rPr>
              <w:t>with capacity being offered via Pool Re.</w:t>
            </w:r>
          </w:p>
          <w:p w14:paraId="1D8A5238" w14:textId="1B1E50FA" w:rsidR="0069381A" w:rsidRPr="00666F17" w:rsidRDefault="00D2601C" w:rsidP="00D2601C">
            <w:pPr>
              <w:spacing w:before="60" w:after="60"/>
              <w:rPr>
                <w:rFonts w:ascii="Arial" w:hAnsi="Arial" w:cs="Arial"/>
                <w:b/>
                <w:u w:val="single"/>
              </w:rPr>
            </w:pPr>
            <w:r w:rsidRPr="005A3E48">
              <w:rPr>
                <w:rFonts w:ascii="Arial" w:hAnsi="Arial" w:cs="Arial"/>
                <w:bCs/>
              </w:rPr>
              <w:t>Optional Gap terrorism cover is available if required</w:t>
            </w:r>
            <w:r>
              <w:rPr>
                <w:rFonts w:ascii="Arial" w:hAnsi="Arial" w:cs="Arial"/>
                <w:bCs/>
              </w:rPr>
              <w:t>.</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lastRenderedPageBreak/>
              <w:t>Target market</w:t>
            </w:r>
          </w:p>
        </w:tc>
      </w:tr>
      <w:tr w:rsidR="0069381A" w:rsidRPr="00666F17" w14:paraId="44782A1D" w14:textId="77777777" w:rsidTr="00251B1B">
        <w:trPr>
          <w:gridAfter w:val="1"/>
          <w:wAfter w:w="24" w:type="dxa"/>
        </w:trPr>
        <w:tc>
          <w:tcPr>
            <w:tcW w:w="9016" w:type="dxa"/>
            <w:gridSpan w:val="4"/>
          </w:tcPr>
          <w:p w14:paraId="2EA9D5B4" w14:textId="5F9D0D4A" w:rsidR="008E6A27" w:rsidRPr="00666F17" w:rsidRDefault="00D2601C" w:rsidP="00D2601C">
            <w:pPr>
              <w:pStyle w:val="ListParagraph"/>
              <w:spacing w:before="60" w:after="60"/>
              <w:ind w:left="0"/>
              <w:contextualSpacing w:val="0"/>
              <w:jc w:val="both"/>
              <w:rPr>
                <w:rFonts w:ascii="Arial" w:hAnsi="Arial" w:cs="Arial"/>
                <w:bCs/>
              </w:rPr>
            </w:pPr>
            <w:r w:rsidRPr="009E6C5D">
              <w:rPr>
                <w:rFonts w:ascii="Arial" w:hAnsi="Arial" w:cs="Arial"/>
                <w:bCs/>
              </w:rPr>
              <w:t xml:space="preserve">This product is intended </w:t>
            </w:r>
            <w:r w:rsidRPr="006070AC">
              <w:rPr>
                <w:rFonts w:ascii="Arial" w:hAnsi="Arial" w:cs="Arial"/>
                <w:bCs/>
              </w:rPr>
              <w:t>for</w:t>
            </w:r>
            <w:r>
              <w:rPr>
                <w:rFonts w:ascii="Arial" w:hAnsi="Arial" w:cs="Arial"/>
                <w:bCs/>
              </w:rPr>
              <w:t xml:space="preserve"> </w:t>
            </w:r>
            <w:r w:rsidRPr="00B65AAE">
              <w:rPr>
                <w:rFonts w:ascii="Arial" w:hAnsi="Arial" w:cs="Arial"/>
                <w:bCs/>
              </w:rPr>
              <w:t xml:space="preserve">sole use by </w:t>
            </w:r>
            <w:r w:rsidRPr="009E6C5D">
              <w:rPr>
                <w:rFonts w:ascii="Arial" w:hAnsi="Arial" w:cs="Arial"/>
                <w:bCs/>
              </w:rPr>
              <w:t xml:space="preserve">commercial </w:t>
            </w:r>
            <w:r w:rsidRPr="00B65AAE">
              <w:rPr>
                <w:rFonts w:ascii="Arial" w:hAnsi="Arial" w:cs="Arial"/>
                <w:bCs/>
              </w:rPr>
              <w:t xml:space="preserve">business </w:t>
            </w:r>
            <w:r w:rsidRPr="009E6C5D">
              <w:rPr>
                <w:rFonts w:ascii="Arial" w:hAnsi="Arial" w:cs="Arial"/>
                <w:bCs/>
              </w:rPr>
              <w:t>customers</w:t>
            </w:r>
            <w:r>
              <w:rPr>
                <w:rFonts w:ascii="Arial" w:hAnsi="Arial" w:cs="Arial"/>
                <w:bCs/>
              </w:rPr>
              <w:t xml:space="preserve"> (which could include</w:t>
            </w:r>
            <w:r w:rsidRPr="009E6C5D">
              <w:rPr>
                <w:rFonts w:ascii="Arial" w:hAnsi="Arial" w:cs="Arial"/>
                <w:bCs/>
              </w:rPr>
              <w:t xml:space="preserve"> micro-enterprises </w:t>
            </w:r>
            <w:r w:rsidRPr="0047628B">
              <w:rPr>
                <w:rFonts w:ascii="Arial" w:hAnsi="Arial" w:cs="Arial"/>
                <w:bCs/>
              </w:rPr>
              <w:t>and small businesses</w:t>
            </w:r>
            <w:r>
              <w:rPr>
                <w:rFonts w:ascii="Arial" w:hAnsi="Arial" w:cs="Arial"/>
                <w:bCs/>
              </w:rPr>
              <w:t>)</w:t>
            </w:r>
            <w:r w:rsidRPr="0047628B">
              <w:rPr>
                <w:rFonts w:ascii="Arial" w:hAnsi="Arial" w:cs="Arial"/>
                <w:bCs/>
              </w:rPr>
              <w:t xml:space="preserve"> that have a Japanese parent company with interests in the United Kingdom</w:t>
            </w:r>
            <w:r>
              <w:rPr>
                <w:rFonts w:ascii="Arial" w:hAnsi="Arial" w:cs="Arial"/>
                <w:bCs/>
              </w:rPr>
              <w:t>.</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 xml:space="preserve">Types of </w:t>
            </w:r>
            <w:proofErr w:type="gramStart"/>
            <w:r w:rsidRPr="00666F17">
              <w:rPr>
                <w:rFonts w:ascii="Arial" w:hAnsi="Arial" w:cs="Arial"/>
                <w:bCs/>
              </w:rPr>
              <w:t>customer</w:t>
            </w:r>
            <w:proofErr w:type="gramEnd"/>
            <w:r w:rsidRPr="00666F17">
              <w:rPr>
                <w:rFonts w:ascii="Arial" w:hAnsi="Arial" w:cs="Arial"/>
                <w:bCs/>
              </w:rPr>
              <w:t xml:space="preserve">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3F033354" w:rsidR="008E6A27" w:rsidRPr="00666F17" w:rsidRDefault="0077116E" w:rsidP="0009007A">
            <w:pPr>
              <w:pStyle w:val="ListParagraph"/>
              <w:spacing w:before="60" w:after="60"/>
              <w:ind w:left="0"/>
              <w:contextualSpacing w:val="0"/>
              <w:rPr>
                <w:rFonts w:ascii="Arial" w:hAnsi="Arial" w:cs="Arial"/>
                <w:b/>
                <w:u w:val="single"/>
              </w:rPr>
            </w:pPr>
            <w:r w:rsidRPr="0009007A">
              <w:rPr>
                <w:rFonts w:ascii="Arial" w:hAnsi="Arial" w:cs="Arial"/>
              </w:rPr>
              <w:t>Any customer type not detailed above.</w:t>
            </w:r>
            <w:r w:rsidR="00D2601C">
              <w:rPr>
                <w:rFonts w:ascii="Arial" w:hAnsi="Arial" w:cs="Arial"/>
              </w:rPr>
              <w:t xml:space="preserve">  This product is not suitable for Consumers.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5B2B1904" w14:textId="77777777" w:rsidR="00EA6B11" w:rsidRDefault="00EA6B11" w:rsidP="00EA6B11">
            <w:pPr>
              <w:spacing w:before="60" w:after="60"/>
              <w:jc w:val="both"/>
              <w:rPr>
                <w:rFonts w:ascii="Arial" w:hAnsi="Arial" w:cs="Arial"/>
                <w:bCs/>
              </w:rPr>
            </w:pPr>
            <w:r>
              <w:rPr>
                <w:rFonts w:ascii="Arial" w:hAnsi="Arial" w:cs="Arial"/>
                <w:bCs/>
              </w:rPr>
              <w:t>There are a number of General Policy Terms, Exclusions and Conditions and each Section contains additional Terms, Exclusions and Conditions that specifically relate to that Section. These are detailed in full in the Policy Wording which is attached to any quotation issued by the carrier.</w:t>
            </w:r>
          </w:p>
          <w:p w14:paraId="3AE9F242" w14:textId="1F6B8FB6" w:rsidR="008E6A27" w:rsidRPr="00666F17" w:rsidRDefault="00EA6B11" w:rsidP="00EA6B11">
            <w:pPr>
              <w:spacing w:before="60" w:after="60"/>
              <w:jc w:val="both"/>
              <w:rPr>
                <w:rFonts w:ascii="Arial" w:hAnsi="Arial" w:cs="Arial"/>
                <w:bCs/>
              </w:rPr>
            </w:pPr>
            <w:r>
              <w:rPr>
                <w:rFonts w:ascii="Arial" w:hAnsi="Arial" w:cs="Arial"/>
                <w:bCs/>
              </w:rPr>
              <w:t>The Policy Wording is also available on request</w:t>
            </w:r>
            <w:r>
              <w:t xml:space="preserve"> </w:t>
            </w:r>
            <w:r>
              <w:rPr>
                <w:rFonts w:ascii="Arial" w:hAnsi="Arial" w:cs="Arial"/>
                <w:bCs/>
              </w:rPr>
              <w:t xml:space="preserve">from the carrier </w:t>
            </w:r>
            <w:r w:rsidRPr="006D371C">
              <w:rPr>
                <w:rFonts w:ascii="Arial" w:hAnsi="Arial" w:cs="Arial"/>
                <w:bCs/>
              </w:rPr>
              <w:t>w</w:t>
            </w:r>
            <w:r>
              <w:rPr>
                <w:rFonts w:ascii="Arial" w:hAnsi="Arial" w:cs="Arial"/>
                <w:bCs/>
              </w:rPr>
              <w:t>ho</w:t>
            </w:r>
            <w:r w:rsidRPr="006D371C">
              <w:rPr>
                <w:rFonts w:ascii="Arial" w:hAnsi="Arial" w:cs="Arial"/>
                <w:bCs/>
              </w:rPr>
              <w:t xml:space="preserve"> recommend</w:t>
            </w:r>
            <w:r>
              <w:rPr>
                <w:rFonts w:ascii="Arial" w:hAnsi="Arial" w:cs="Arial"/>
                <w:bCs/>
              </w:rPr>
              <w:t>s</w:t>
            </w:r>
            <w:r w:rsidRPr="006D371C">
              <w:rPr>
                <w:rFonts w:ascii="Arial" w:hAnsi="Arial" w:cs="Arial"/>
                <w:bCs/>
              </w:rPr>
              <w:t xml:space="preserve"> that </w:t>
            </w:r>
            <w:r>
              <w:rPr>
                <w:rFonts w:ascii="Arial" w:hAnsi="Arial" w:cs="Arial"/>
                <w:bCs/>
              </w:rPr>
              <w:t>the</w:t>
            </w:r>
            <w:r w:rsidRPr="006D371C">
              <w:rPr>
                <w:rFonts w:ascii="Arial" w:hAnsi="Arial" w:cs="Arial"/>
                <w:bCs/>
              </w:rPr>
              <w:t xml:space="preserve"> wording</w:t>
            </w:r>
            <w:r>
              <w:rPr>
                <w:rFonts w:ascii="Arial" w:hAnsi="Arial" w:cs="Arial"/>
                <w:bCs/>
              </w:rPr>
              <w:t xml:space="preserve"> is</w:t>
            </w:r>
            <w:r w:rsidRPr="006D371C">
              <w:rPr>
                <w:rFonts w:ascii="Arial" w:hAnsi="Arial" w:cs="Arial"/>
                <w:bCs/>
              </w:rPr>
              <w:t xml:space="preserve"> checked carefully to </w:t>
            </w:r>
            <w:r>
              <w:rPr>
                <w:rFonts w:ascii="Arial" w:hAnsi="Arial" w:cs="Arial"/>
                <w:bCs/>
              </w:rPr>
              <w:t>en</w:t>
            </w:r>
            <w:r w:rsidRPr="006D371C">
              <w:rPr>
                <w:rFonts w:ascii="Arial" w:hAnsi="Arial" w:cs="Arial"/>
                <w:bCs/>
              </w:rPr>
              <w:t xml:space="preserve">sure </w:t>
            </w:r>
            <w:r>
              <w:rPr>
                <w:rFonts w:ascii="Arial" w:hAnsi="Arial" w:cs="Arial"/>
                <w:bCs/>
              </w:rPr>
              <w:t xml:space="preserve">it meets </w:t>
            </w:r>
            <w:r w:rsidRPr="006D371C">
              <w:rPr>
                <w:rFonts w:ascii="Arial" w:hAnsi="Arial" w:cs="Arial"/>
                <w:bCs/>
              </w:rPr>
              <w:t>the</w:t>
            </w:r>
            <w:r>
              <w:rPr>
                <w:rFonts w:ascii="Arial" w:hAnsi="Arial" w:cs="Arial"/>
                <w:bCs/>
              </w:rPr>
              <w:t xml:space="preserve"> customer’s needs</w:t>
            </w:r>
            <w:r w:rsidRPr="006D371C">
              <w:rPr>
                <w:rFonts w:ascii="Arial" w:hAnsi="Arial" w:cs="Arial"/>
                <w:bCs/>
              </w:rPr>
              <w:t>.</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t>Other information which may be relevant to distributors</w:t>
            </w:r>
          </w:p>
        </w:tc>
      </w:tr>
      <w:tr w:rsidR="0069381A" w:rsidRPr="00666F17" w14:paraId="0E72F86C" w14:textId="77777777" w:rsidTr="00251B1B">
        <w:trPr>
          <w:gridAfter w:val="1"/>
          <w:wAfter w:w="24" w:type="dxa"/>
        </w:trPr>
        <w:tc>
          <w:tcPr>
            <w:tcW w:w="9016" w:type="dxa"/>
            <w:gridSpan w:val="4"/>
          </w:tcPr>
          <w:p w14:paraId="4541EF8E" w14:textId="77777777" w:rsidR="00EA6B11" w:rsidRDefault="00EA6B11" w:rsidP="00EA6B11">
            <w:pPr>
              <w:spacing w:before="60" w:after="60"/>
              <w:jc w:val="both"/>
              <w:rPr>
                <w:rFonts w:ascii="Arial" w:hAnsi="Arial" w:cs="Arial"/>
                <w:bCs/>
              </w:rPr>
            </w:pPr>
            <w:r>
              <w:rPr>
                <w:rFonts w:ascii="Arial" w:hAnsi="Arial" w:cs="Arial"/>
                <w:bCs/>
              </w:rPr>
              <w:t xml:space="preserve">Pool Re terrorism cover is available only within </w:t>
            </w:r>
            <w:r w:rsidRPr="00F24AC0">
              <w:rPr>
                <w:rFonts w:ascii="Arial" w:hAnsi="Arial" w:cs="Arial"/>
                <w:bCs/>
              </w:rPr>
              <w:t>England and Wales and Scotland but not the territorial sea adjacent thereto as defined by the Territorial Seas Act 1987</w:t>
            </w:r>
            <w:r>
              <w:rPr>
                <w:rFonts w:ascii="Arial" w:hAnsi="Arial" w:cs="Arial"/>
                <w:bCs/>
              </w:rPr>
              <w:t xml:space="preserve">. </w:t>
            </w:r>
          </w:p>
          <w:p w14:paraId="751DAC96" w14:textId="13C430E4" w:rsidR="00D41241" w:rsidRPr="00666F17" w:rsidRDefault="00EA6B11" w:rsidP="00EA6B11">
            <w:pPr>
              <w:spacing w:before="60" w:after="60"/>
              <w:jc w:val="both"/>
              <w:rPr>
                <w:rFonts w:ascii="Arial" w:hAnsi="Arial" w:cs="Arial"/>
                <w:bCs/>
              </w:rPr>
            </w:pPr>
            <w:r w:rsidRPr="0063614F">
              <w:rPr>
                <w:rFonts w:ascii="Arial" w:hAnsi="Arial" w:cs="Arial"/>
                <w:bCs/>
              </w:rPr>
              <w:t xml:space="preserve">This product </w:t>
            </w:r>
            <w:r>
              <w:rPr>
                <w:rFonts w:ascii="Arial" w:hAnsi="Arial" w:cs="Arial"/>
                <w:bCs/>
              </w:rPr>
              <w:t>should</w:t>
            </w:r>
            <w:r w:rsidRPr="0063614F">
              <w:rPr>
                <w:rFonts w:ascii="Arial" w:hAnsi="Arial" w:cs="Arial"/>
                <w:bCs/>
              </w:rPr>
              <w:t xml:space="preserve"> only be distributed by brokers approved by the carrier.</w:t>
            </w: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t>Date Fair Value assessment completed</w:t>
            </w:r>
          </w:p>
        </w:tc>
        <w:tc>
          <w:tcPr>
            <w:tcW w:w="4910" w:type="dxa"/>
            <w:gridSpan w:val="2"/>
          </w:tcPr>
          <w:p w14:paraId="68C7566D" w14:textId="3040F208" w:rsidR="002F1B42" w:rsidRPr="00666F17" w:rsidRDefault="00EA6B11" w:rsidP="00D41241">
            <w:pPr>
              <w:spacing w:before="60" w:after="60"/>
              <w:rPr>
                <w:rFonts w:ascii="Arial" w:hAnsi="Arial" w:cs="Arial"/>
                <w:bCs/>
              </w:rPr>
            </w:pPr>
            <w:r>
              <w:rPr>
                <w:rFonts w:ascii="Arial" w:hAnsi="Arial" w:cs="Arial"/>
                <w:bCs/>
              </w:rPr>
              <w:t>November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43C18F64" w:rsidR="00063C29" w:rsidRPr="00666F17" w:rsidRDefault="00063C29" w:rsidP="00D41241">
            <w:pPr>
              <w:spacing w:before="60" w:after="60"/>
              <w:rPr>
                <w:rFonts w:ascii="Arial" w:hAnsi="Arial" w:cs="Arial"/>
                <w:bCs/>
                <w:i/>
                <w:iCs/>
              </w:rPr>
            </w:pPr>
            <w:bookmarkStart w:id="2" w:name="_Hlk86730916"/>
            <w:r w:rsidRPr="00666F17">
              <w:rPr>
                <w:rFonts w:ascii="Arial" w:hAnsi="Arial" w:cs="Arial"/>
                <w:bCs/>
                <w:i/>
                <w:iCs/>
              </w:rPr>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EA6B11">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2"/>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EA6B11">
            <w:pPr>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lastRenderedPageBreak/>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3"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3"/>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4"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lastRenderedPageBreak/>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4"/>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lastRenderedPageBreak/>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5"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5"/>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lastRenderedPageBreak/>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lastRenderedPageBreak/>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DE433E"/>
    <w:multiLevelType w:val="hybridMultilevel"/>
    <w:tmpl w:val="6514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0"/>
  </w:num>
  <w:num w:numId="5" w16cid:durableId="1697654760">
    <w:abstractNumId w:val="13"/>
  </w:num>
  <w:num w:numId="6" w16cid:durableId="967667101">
    <w:abstractNumId w:val="18"/>
  </w:num>
  <w:num w:numId="7" w16cid:durableId="1782411577">
    <w:abstractNumId w:val="17"/>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6"/>
  </w:num>
  <w:num w:numId="13" w16cid:durableId="1486240968">
    <w:abstractNumId w:val="6"/>
  </w:num>
  <w:num w:numId="14" w16cid:durableId="141584819">
    <w:abstractNumId w:val="7"/>
  </w:num>
  <w:num w:numId="15" w16cid:durableId="499004247">
    <w:abstractNumId w:val="14"/>
  </w:num>
  <w:num w:numId="16" w16cid:durableId="2058434666">
    <w:abstractNumId w:val="3"/>
  </w:num>
  <w:num w:numId="17" w16cid:durableId="1734156735">
    <w:abstractNumId w:val="12"/>
  </w:num>
  <w:num w:numId="18" w16cid:durableId="1766733078">
    <w:abstractNumId w:val="11"/>
  </w:num>
  <w:num w:numId="19" w16cid:durableId="1824464112">
    <w:abstractNumId w:val="0"/>
  </w:num>
  <w:num w:numId="20" w16cid:durableId="3071269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616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601C"/>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6B11"/>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3</cp:revision>
  <dcterms:created xsi:type="dcterms:W3CDTF">2023-03-08T20:10:00Z</dcterms:created>
  <dcterms:modified xsi:type="dcterms:W3CDTF">2023-03-08T20:16:00Z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